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845C" w14:textId="3A648D6D" w:rsidR="0080530D" w:rsidRPr="00211D70" w:rsidRDefault="00A41A51" w:rsidP="00A41A51">
      <w:pPr>
        <w:spacing w:line="276" w:lineRule="auto"/>
        <w:ind w:left="6521" w:right="-187"/>
        <w:contextualSpacing/>
        <w:rPr>
          <w:rFonts w:ascii="Arial" w:hAnsi="Arial" w:cs="Arial"/>
        </w:rPr>
      </w:pPr>
      <w:r>
        <w:rPr>
          <w:rFonts w:ascii="Arial" w:hAnsi="Arial" w:cs="Arial"/>
        </w:rPr>
        <w:t>SMTW Environmental DAC</w:t>
      </w:r>
      <w:r w:rsidR="007B0100">
        <w:rPr>
          <w:rFonts w:ascii="Arial" w:hAnsi="Arial" w:cs="Arial"/>
        </w:rPr>
        <w:br/>
      </w:r>
      <w:r>
        <w:rPr>
          <w:rFonts w:ascii="Arial" w:hAnsi="Arial" w:cs="Arial"/>
        </w:rPr>
        <w:t xml:space="preserve">C/o Liam O’Gradaigh, </w:t>
      </w:r>
      <w:r w:rsidR="00792841">
        <w:rPr>
          <w:rFonts w:ascii="Arial" w:hAnsi="Arial" w:cs="Arial"/>
        </w:rPr>
        <w:t>Ward Cross</w:t>
      </w:r>
      <w:r w:rsidR="0080530D" w:rsidRPr="00211D70">
        <w:rPr>
          <w:rFonts w:ascii="Arial" w:hAnsi="Arial" w:cs="Arial"/>
        </w:rPr>
        <w:t>, The Ward, Co. Dublin</w:t>
      </w:r>
    </w:p>
    <w:p w14:paraId="43F1D200" w14:textId="2F121C6C" w:rsidR="0080530D" w:rsidRPr="00211D70" w:rsidRDefault="0080530D" w:rsidP="007B0100">
      <w:pPr>
        <w:spacing w:line="276" w:lineRule="auto"/>
        <w:ind w:right="-187"/>
        <w:contextualSpacing/>
        <w:jc w:val="center"/>
        <w:rPr>
          <w:rFonts w:ascii="Arial" w:hAnsi="Arial" w:cs="Arial"/>
        </w:rPr>
      </w:pPr>
    </w:p>
    <w:p w14:paraId="66153C44" w14:textId="77777777" w:rsidR="007B0100" w:rsidRDefault="008C203C" w:rsidP="007B0100">
      <w:pPr>
        <w:spacing w:line="276" w:lineRule="auto"/>
        <w:ind w:right="-187"/>
        <w:contextualSpacing/>
        <w:rPr>
          <w:rFonts w:ascii="Arial" w:hAnsi="Arial" w:cs="Arial"/>
          <w:color w:val="363636"/>
          <w:shd w:val="clear" w:color="auto" w:fill="FCFCFC"/>
        </w:rPr>
      </w:pPr>
      <w:r w:rsidRPr="00CA780B">
        <w:rPr>
          <w:rFonts w:ascii="Arial" w:hAnsi="Arial" w:cs="Arial"/>
          <w:color w:val="363636"/>
          <w:shd w:val="clear" w:color="auto" w:fill="FCFCFC"/>
        </w:rPr>
        <w:t xml:space="preserve">The Secretary </w:t>
      </w:r>
      <w:r w:rsidR="007B0100">
        <w:rPr>
          <w:rFonts w:ascii="Arial" w:hAnsi="Arial" w:cs="Arial"/>
          <w:color w:val="363636"/>
          <w:shd w:val="clear" w:color="auto" w:fill="FCFCFC"/>
        </w:rPr>
        <w:br/>
      </w:r>
      <w:r w:rsidRPr="00CA780B">
        <w:rPr>
          <w:rFonts w:ascii="Arial" w:hAnsi="Arial" w:cs="Arial"/>
          <w:color w:val="363636"/>
          <w:shd w:val="clear" w:color="auto" w:fill="FCFCFC"/>
        </w:rPr>
        <w:t>An Bord Pleanála</w:t>
      </w:r>
      <w:r w:rsidR="007B0100">
        <w:rPr>
          <w:rFonts w:ascii="Arial" w:hAnsi="Arial" w:cs="Arial"/>
          <w:color w:val="363636"/>
          <w:shd w:val="clear" w:color="auto" w:fill="FCFCFC"/>
        </w:rPr>
        <w:br/>
      </w:r>
      <w:r w:rsidRPr="00CA780B">
        <w:rPr>
          <w:rFonts w:ascii="Arial" w:hAnsi="Arial" w:cs="Arial"/>
          <w:color w:val="363636"/>
          <w:shd w:val="clear" w:color="auto" w:fill="FCFCFC"/>
        </w:rPr>
        <w:t>64 Marlborough Street</w:t>
      </w:r>
      <w:r w:rsidR="007B0100">
        <w:rPr>
          <w:rFonts w:ascii="Arial" w:hAnsi="Arial" w:cs="Arial"/>
          <w:color w:val="363636"/>
          <w:shd w:val="clear" w:color="auto" w:fill="FCFCFC"/>
        </w:rPr>
        <w:br/>
      </w:r>
      <w:r w:rsidRPr="00CA780B">
        <w:rPr>
          <w:rFonts w:ascii="Arial" w:hAnsi="Arial" w:cs="Arial"/>
          <w:color w:val="363636"/>
          <w:shd w:val="clear" w:color="auto" w:fill="FCFCFC"/>
        </w:rPr>
        <w:t>Dublin 1</w:t>
      </w:r>
      <w:r w:rsidR="007B0100">
        <w:rPr>
          <w:rFonts w:ascii="Arial" w:hAnsi="Arial" w:cs="Arial"/>
          <w:color w:val="363636"/>
          <w:shd w:val="clear" w:color="auto" w:fill="FCFCFC"/>
        </w:rPr>
        <w:br/>
      </w:r>
      <w:r w:rsidRPr="00CA780B">
        <w:rPr>
          <w:rFonts w:ascii="Arial" w:hAnsi="Arial" w:cs="Arial"/>
          <w:color w:val="363636"/>
          <w:shd w:val="clear" w:color="auto" w:fill="FCFCFC"/>
        </w:rPr>
        <w:t>D01 V902</w:t>
      </w:r>
    </w:p>
    <w:p w14:paraId="59E1580C" w14:textId="7A4BA18F" w:rsidR="0080530D" w:rsidRDefault="007B0100" w:rsidP="007B0100">
      <w:pPr>
        <w:spacing w:line="276" w:lineRule="auto"/>
        <w:ind w:right="-187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B0100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September 2022</w:t>
      </w:r>
    </w:p>
    <w:p w14:paraId="4281ED8D" w14:textId="1F62BBBE" w:rsidR="00F23C32" w:rsidRDefault="00F23C32" w:rsidP="007B0100">
      <w:pPr>
        <w:spacing w:line="276" w:lineRule="auto"/>
        <w:ind w:right="-187"/>
        <w:contextualSpacing/>
        <w:rPr>
          <w:rFonts w:ascii="Arial" w:hAnsi="Arial" w:cs="Arial"/>
          <w:color w:val="363636"/>
          <w:shd w:val="clear" w:color="auto" w:fill="FCFCFC"/>
        </w:rPr>
      </w:pPr>
    </w:p>
    <w:p w14:paraId="29C936A0" w14:textId="77777777" w:rsidR="00F23C32" w:rsidRPr="007B0100" w:rsidRDefault="00F23C32" w:rsidP="007B0100">
      <w:pPr>
        <w:spacing w:line="276" w:lineRule="auto"/>
        <w:ind w:right="-187"/>
        <w:contextualSpacing/>
        <w:rPr>
          <w:rFonts w:ascii="Arial" w:hAnsi="Arial" w:cs="Arial"/>
          <w:color w:val="363636"/>
          <w:shd w:val="clear" w:color="auto" w:fill="FCFCFC"/>
        </w:rPr>
      </w:pPr>
    </w:p>
    <w:p w14:paraId="20F90802" w14:textId="0CB50AF9" w:rsidR="0080530D" w:rsidRPr="00211D70" w:rsidRDefault="0080530D" w:rsidP="007B0100">
      <w:pPr>
        <w:spacing w:line="276" w:lineRule="auto"/>
        <w:ind w:right="-187"/>
        <w:contextualSpacing/>
        <w:jc w:val="both"/>
        <w:rPr>
          <w:rFonts w:ascii="Arial" w:hAnsi="Arial" w:cs="Arial"/>
          <w:b/>
          <w:bCs/>
        </w:rPr>
      </w:pPr>
    </w:p>
    <w:p w14:paraId="0A0C59A6" w14:textId="144E22C9" w:rsidR="0080530D" w:rsidRPr="00211D70" w:rsidRDefault="0080530D" w:rsidP="007B0100">
      <w:pPr>
        <w:spacing w:line="276" w:lineRule="auto"/>
        <w:ind w:right="-187"/>
        <w:contextualSpacing/>
        <w:jc w:val="both"/>
        <w:rPr>
          <w:rFonts w:ascii="Arial" w:hAnsi="Arial" w:cs="Arial"/>
          <w:b/>
          <w:bCs/>
        </w:rPr>
      </w:pPr>
      <w:r w:rsidRPr="00211D70">
        <w:rPr>
          <w:rFonts w:ascii="Arial" w:hAnsi="Arial" w:cs="Arial"/>
          <w:b/>
          <w:bCs/>
        </w:rPr>
        <w:t xml:space="preserve">RE: </w:t>
      </w:r>
      <w:r w:rsidR="00BA109C">
        <w:rPr>
          <w:rFonts w:ascii="Arial" w:hAnsi="Arial" w:cs="Arial"/>
          <w:b/>
          <w:bCs/>
        </w:rPr>
        <w:t xml:space="preserve">APPEAL REGARDING </w:t>
      </w:r>
      <w:r w:rsidR="007B0100">
        <w:rPr>
          <w:rFonts w:ascii="Arial" w:hAnsi="Arial" w:cs="Arial"/>
          <w:b/>
          <w:bCs/>
        </w:rPr>
        <w:t>FINGAL COUNTY COUNCIL’S DECISION TO GRANT PERMISSION FOR PLANNING APPLICATION F20A/0668 AND ANCA’S REGULATORY DECISION FOR THE RELEVANT ACTION AS SUBMITTED BY DAA</w:t>
      </w:r>
    </w:p>
    <w:p w14:paraId="46D1AB7D" w14:textId="0D8304C8" w:rsidR="0080530D" w:rsidRDefault="0080530D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765B15DD" w14:textId="77777777" w:rsidR="00F23C32" w:rsidRPr="00211D70" w:rsidRDefault="00F23C32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28F81B89" w14:textId="77777777" w:rsidR="007B0100" w:rsidRDefault="0080530D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 w:rsidRPr="00211D70">
        <w:rPr>
          <w:rFonts w:ascii="Arial" w:hAnsi="Arial" w:cs="Arial"/>
        </w:rPr>
        <w:t>Dear Sir/ Madam,</w:t>
      </w:r>
    </w:p>
    <w:p w14:paraId="6691C067" w14:textId="77777777" w:rsidR="007B0100" w:rsidRDefault="007B0100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26D66842" w14:textId="1B422F5A" w:rsidR="007B0100" w:rsidRDefault="007B0100" w:rsidP="007B0100">
      <w:pPr>
        <w:spacing w:line="276" w:lineRule="auto"/>
        <w:ind w:right="-187"/>
        <w:contextualSpacing/>
        <w:jc w:val="both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We</w:t>
      </w:r>
      <w:r w:rsidR="00204514" w:rsidRPr="00204514">
        <w:rPr>
          <w:rFonts w:ascii="Arial" w:hAnsi="Arial" w:cs="Arial"/>
          <w:color w:val="201F1E"/>
        </w:rPr>
        <w:t xml:space="preserve"> wish to appeal the regulatory decision made by the Aircraft Noise Competent Authority (ANCA) dated 20</w:t>
      </w:r>
      <w:r w:rsidR="00204514" w:rsidRPr="00204514">
        <w:rPr>
          <w:rFonts w:ascii="Arial" w:hAnsi="Arial" w:cs="Arial"/>
          <w:color w:val="201F1E"/>
          <w:vertAlign w:val="superscript"/>
        </w:rPr>
        <w:t>th</w:t>
      </w:r>
      <w:r w:rsidR="00204514" w:rsidRPr="00204514">
        <w:rPr>
          <w:rFonts w:ascii="Arial" w:hAnsi="Arial" w:cs="Arial"/>
          <w:color w:val="201F1E"/>
        </w:rPr>
        <w:t> June 2022</w:t>
      </w:r>
      <w:r>
        <w:rPr>
          <w:rFonts w:ascii="Arial" w:hAnsi="Arial" w:cs="Arial"/>
          <w:color w:val="201F1E"/>
        </w:rPr>
        <w:t>, and Fingal County Council’s decision to grant permission for planning application F20A/0668.</w:t>
      </w:r>
    </w:p>
    <w:p w14:paraId="551F5CF2" w14:textId="77777777" w:rsidR="007B0100" w:rsidRDefault="007B0100" w:rsidP="007B0100">
      <w:pPr>
        <w:spacing w:line="276" w:lineRule="auto"/>
        <w:ind w:right="-187"/>
        <w:contextualSpacing/>
        <w:jc w:val="both"/>
        <w:rPr>
          <w:rFonts w:ascii="Arial" w:hAnsi="Arial" w:cs="Arial"/>
          <w:color w:val="201F1E"/>
        </w:rPr>
      </w:pPr>
    </w:p>
    <w:p w14:paraId="776DC1DA" w14:textId="62713FC3" w:rsidR="00204514" w:rsidRPr="007B0100" w:rsidRDefault="00204514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 w:rsidRPr="00204514">
        <w:rPr>
          <w:rFonts w:ascii="Arial" w:hAnsi="Arial" w:cs="Arial"/>
          <w:color w:val="201F1E"/>
        </w:rPr>
        <w:t>We refer to the attached correspondence from ANCA confirming that we made a submission</w:t>
      </w:r>
      <w:r w:rsidR="00945692">
        <w:rPr>
          <w:rFonts w:ascii="Arial" w:hAnsi="Arial" w:cs="Arial"/>
          <w:color w:val="201F1E"/>
        </w:rPr>
        <w:t xml:space="preserve"> (ref </w:t>
      </w:r>
      <w:r w:rsidR="00945692" w:rsidRPr="00945692">
        <w:rPr>
          <w:rFonts w:ascii="Arial" w:hAnsi="Arial" w:cs="Arial"/>
          <w:color w:val="201F1E"/>
        </w:rPr>
        <w:t>FIN-C338-ANCA-3</w:t>
      </w:r>
      <w:r w:rsidR="00CE1326">
        <w:rPr>
          <w:rFonts w:ascii="Arial" w:hAnsi="Arial" w:cs="Arial"/>
          <w:color w:val="201F1E"/>
        </w:rPr>
        <w:t>16</w:t>
      </w:r>
      <w:r w:rsidR="00945692">
        <w:rPr>
          <w:rFonts w:ascii="Arial" w:hAnsi="Arial" w:cs="Arial"/>
          <w:color w:val="201F1E"/>
        </w:rPr>
        <w:t>)</w:t>
      </w:r>
      <w:r w:rsidRPr="00204514">
        <w:rPr>
          <w:rFonts w:ascii="Arial" w:hAnsi="Arial" w:cs="Arial"/>
          <w:color w:val="201F1E"/>
        </w:rPr>
        <w:t xml:space="preserve"> on the draft regulatory decision and therefore</w:t>
      </w:r>
      <w:r w:rsidR="00F23C32">
        <w:rPr>
          <w:rFonts w:ascii="Arial" w:hAnsi="Arial" w:cs="Arial"/>
          <w:color w:val="201F1E"/>
        </w:rPr>
        <w:t xml:space="preserve"> meet the</w:t>
      </w:r>
      <w:r w:rsidRPr="00204514">
        <w:rPr>
          <w:rFonts w:ascii="Arial" w:hAnsi="Arial" w:cs="Arial"/>
          <w:color w:val="201F1E"/>
        </w:rPr>
        <w:t xml:space="preserve"> requirements of a relevant person under the act</w:t>
      </w:r>
      <w:r w:rsidR="00F10C58">
        <w:rPr>
          <w:rFonts w:ascii="Arial" w:hAnsi="Arial" w:cs="Arial"/>
          <w:color w:val="201F1E"/>
        </w:rPr>
        <w:t>,</w:t>
      </w:r>
      <w:r w:rsidR="00F10C58" w:rsidRPr="00214C1C">
        <w:rPr>
          <w:rFonts w:ascii="Arial" w:hAnsi="Arial" w:cs="Arial"/>
          <w:color w:val="201F1E"/>
        </w:rPr>
        <w:t xml:space="preserve"> and also correspondence from Fingal County Council dated 2</w:t>
      </w:r>
      <w:r w:rsidR="00F10C58" w:rsidRPr="00214C1C">
        <w:rPr>
          <w:rFonts w:ascii="Arial" w:hAnsi="Arial" w:cs="Arial"/>
          <w:color w:val="201F1E"/>
          <w:vertAlign w:val="superscript"/>
        </w:rPr>
        <w:t>nd</w:t>
      </w:r>
      <w:r w:rsidR="00F10C58" w:rsidRPr="00214C1C">
        <w:rPr>
          <w:rFonts w:ascii="Arial" w:hAnsi="Arial" w:cs="Arial"/>
          <w:color w:val="201F1E"/>
        </w:rPr>
        <w:t xml:space="preserve"> February 2021 and 28</w:t>
      </w:r>
      <w:r w:rsidR="00F10C58" w:rsidRPr="00214C1C">
        <w:rPr>
          <w:rFonts w:ascii="Arial" w:hAnsi="Arial" w:cs="Arial"/>
          <w:color w:val="201F1E"/>
          <w:vertAlign w:val="superscript"/>
        </w:rPr>
        <w:t>th</w:t>
      </w:r>
      <w:r w:rsidR="00F10C58" w:rsidRPr="00214C1C">
        <w:rPr>
          <w:rFonts w:ascii="Arial" w:hAnsi="Arial" w:cs="Arial"/>
          <w:color w:val="201F1E"/>
        </w:rPr>
        <w:t xml:space="preserve"> October 2021 confirming our submissions to Fingal County Council Planning Authority with reference to reg. ref F20A/0668.</w:t>
      </w:r>
    </w:p>
    <w:p w14:paraId="0A8E6789" w14:textId="34B2FBDB" w:rsidR="00204514" w:rsidRDefault="00204514" w:rsidP="007B0100">
      <w:pPr>
        <w:pStyle w:val="xmsonormal"/>
        <w:shd w:val="clear" w:color="auto" w:fill="FFFFFF"/>
        <w:spacing w:before="0" w:beforeAutospacing="0" w:after="160" w:afterAutospacing="0" w:line="276" w:lineRule="auto"/>
        <w:ind w:right="-187"/>
        <w:contextualSpacing/>
        <w:jc w:val="both"/>
        <w:rPr>
          <w:rFonts w:ascii="Arial" w:hAnsi="Arial" w:cs="Arial"/>
          <w:color w:val="201F1E"/>
          <w:sz w:val="22"/>
          <w:szCs w:val="22"/>
        </w:rPr>
      </w:pPr>
      <w:r w:rsidRPr="00204514">
        <w:rPr>
          <w:rFonts w:ascii="Arial" w:hAnsi="Arial" w:cs="Arial"/>
          <w:color w:val="201F1E"/>
          <w:sz w:val="22"/>
          <w:szCs w:val="22"/>
        </w:rPr>
        <w:t xml:space="preserve">We also confirm that we include with this appeal the appropriate fee and confirm that this appeal has been lodged with An Bord </w:t>
      </w:r>
      <w:r w:rsidR="00F23C32" w:rsidRPr="00204514">
        <w:rPr>
          <w:rFonts w:ascii="Arial" w:hAnsi="Arial" w:cs="Arial"/>
          <w:color w:val="201F1E"/>
          <w:sz w:val="22"/>
          <w:szCs w:val="22"/>
        </w:rPr>
        <w:t>Pleanála</w:t>
      </w:r>
      <w:r w:rsidRPr="00204514">
        <w:rPr>
          <w:rFonts w:ascii="Arial" w:hAnsi="Arial" w:cs="Arial"/>
          <w:color w:val="201F1E"/>
          <w:sz w:val="22"/>
          <w:szCs w:val="22"/>
        </w:rPr>
        <w:t xml:space="preserve"> before the expiration of the appropriate period as defined at Section 10(18) of the Act.</w:t>
      </w:r>
      <w:r w:rsidR="00E77F0C">
        <w:rPr>
          <w:rFonts w:ascii="Arial" w:hAnsi="Arial" w:cs="Arial"/>
          <w:color w:val="201F1E"/>
          <w:sz w:val="22"/>
          <w:szCs w:val="22"/>
        </w:rPr>
        <w:t xml:space="preserve"> We also confirm that we include the appropriate fee for </w:t>
      </w:r>
      <w:r w:rsidR="00AA14A7">
        <w:rPr>
          <w:rFonts w:ascii="Arial" w:hAnsi="Arial" w:cs="Arial"/>
          <w:color w:val="201F1E"/>
          <w:sz w:val="22"/>
          <w:szCs w:val="22"/>
        </w:rPr>
        <w:t>an Oral Hearing request.</w:t>
      </w:r>
    </w:p>
    <w:p w14:paraId="0987900B" w14:textId="7DEECE8E" w:rsidR="00722E2D" w:rsidRDefault="00A14D1C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Please find attached</w:t>
      </w:r>
      <w:r w:rsidR="00AA14A7">
        <w:rPr>
          <w:rFonts w:ascii="Arial" w:hAnsi="Arial" w:cs="Arial"/>
        </w:rPr>
        <w:t xml:space="preserve"> </w:t>
      </w:r>
      <w:r w:rsidR="004C3258">
        <w:rPr>
          <w:rFonts w:ascii="Arial" w:hAnsi="Arial" w:cs="Arial"/>
        </w:rPr>
        <w:t>the</w:t>
      </w:r>
      <w:r w:rsidR="00AA14A7">
        <w:rPr>
          <w:rFonts w:ascii="Arial" w:hAnsi="Arial" w:cs="Arial"/>
        </w:rPr>
        <w:t xml:space="preserve"> main appeal document accompanied by </w:t>
      </w:r>
      <w:r w:rsidR="00BA197B">
        <w:rPr>
          <w:rFonts w:ascii="Arial" w:hAnsi="Arial" w:cs="Arial"/>
        </w:rPr>
        <w:t xml:space="preserve">supplementary material </w:t>
      </w:r>
      <w:r w:rsidR="004C3258">
        <w:rPr>
          <w:rFonts w:ascii="Arial" w:hAnsi="Arial" w:cs="Arial"/>
        </w:rPr>
        <w:t xml:space="preserve">that is </w:t>
      </w:r>
      <w:r w:rsidR="00BA197B">
        <w:rPr>
          <w:rFonts w:ascii="Arial" w:hAnsi="Arial" w:cs="Arial"/>
        </w:rPr>
        <w:t xml:space="preserve">referenced in the main document. Also included is a </w:t>
      </w:r>
      <w:r w:rsidR="00CA0804">
        <w:rPr>
          <w:rFonts w:ascii="Arial" w:hAnsi="Arial" w:cs="Arial"/>
        </w:rPr>
        <w:t xml:space="preserve">USB stick with </w:t>
      </w:r>
      <w:r w:rsidR="000A1792">
        <w:rPr>
          <w:rFonts w:ascii="Arial" w:hAnsi="Arial" w:cs="Arial"/>
        </w:rPr>
        <w:t>the material in electronic format.</w:t>
      </w:r>
    </w:p>
    <w:p w14:paraId="4D7714A6" w14:textId="6C5FEFE8" w:rsidR="00F10C58" w:rsidRDefault="00F10C58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4A2CD1B3" w14:textId="77777777" w:rsidR="00F10C58" w:rsidRPr="00214C1C" w:rsidRDefault="00F10C58" w:rsidP="00F10C58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 w:rsidRPr="00214C1C">
        <w:rPr>
          <w:rFonts w:ascii="Arial" w:hAnsi="Arial" w:cs="Arial"/>
        </w:rPr>
        <w:t xml:space="preserve">We also would like to bring your attention to the breach of article </w:t>
      </w:r>
      <w:r>
        <w:rPr>
          <w:rFonts w:ascii="Arial" w:hAnsi="Arial" w:cs="Arial"/>
        </w:rPr>
        <w:t>6</w:t>
      </w:r>
      <w:r w:rsidRPr="00214C1C">
        <w:rPr>
          <w:rFonts w:ascii="Arial" w:hAnsi="Arial" w:cs="Arial"/>
        </w:rPr>
        <w:t>(3) of the habitat</w:t>
      </w:r>
      <w:r>
        <w:rPr>
          <w:rFonts w:ascii="Arial" w:hAnsi="Arial" w:cs="Arial"/>
        </w:rPr>
        <w:t>s</w:t>
      </w:r>
      <w:r w:rsidRPr="00214C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214C1C">
        <w:rPr>
          <w:rFonts w:ascii="Arial" w:hAnsi="Arial" w:cs="Arial"/>
        </w:rPr>
        <w:t>irective</w:t>
      </w:r>
      <w:r>
        <w:rPr>
          <w:rFonts w:ascii="Arial" w:hAnsi="Arial" w:cs="Arial"/>
        </w:rPr>
        <w:t>:</w:t>
      </w:r>
    </w:p>
    <w:p w14:paraId="347593CC" w14:textId="77777777" w:rsidR="00F10C58" w:rsidRPr="00214C1C" w:rsidRDefault="00F10C58" w:rsidP="00F10C58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1DB3D5CC" w14:textId="77777777" w:rsidR="00F10C58" w:rsidRPr="00214C1C" w:rsidRDefault="00F10C58" w:rsidP="00F10C58">
      <w:pPr>
        <w:spacing w:after="0" w:line="240" w:lineRule="auto"/>
        <w:jc w:val="both"/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</w:pPr>
      <w:bookmarkStart w:id="0" w:name="__DdeLink__2953_4190948869"/>
      <w:r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  <w:t>“</w:t>
      </w:r>
      <w:r w:rsidRPr="00214C1C"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  <w:t>Breach of article 6(3) of habitats Directive.</w:t>
      </w:r>
    </w:p>
    <w:p w14:paraId="171DC10A" w14:textId="77777777" w:rsidR="00F10C58" w:rsidRPr="00214C1C" w:rsidRDefault="00F10C58" w:rsidP="00F10C58">
      <w:pPr>
        <w:spacing w:after="0" w:line="240" w:lineRule="auto"/>
        <w:jc w:val="both"/>
        <w:rPr>
          <w:rFonts w:ascii="Arial" w:eastAsia="NSimSun" w:hAnsi="Arial" w:cs="Arial"/>
          <w:color w:val="000000"/>
          <w:kern w:val="2"/>
          <w:lang w:eastAsia="zh-CN" w:bidi="hi-IN"/>
        </w:rPr>
      </w:pP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In Its AA screen determination Fingal Co Council states:</w:t>
      </w:r>
    </w:p>
    <w:p w14:paraId="6B834C82" w14:textId="77777777" w:rsidR="00F10C58" w:rsidRPr="00214C1C" w:rsidRDefault="00F10C58" w:rsidP="00F10C58">
      <w:pPr>
        <w:spacing w:after="0" w:line="240" w:lineRule="auto"/>
        <w:jc w:val="both"/>
        <w:rPr>
          <w:rFonts w:ascii="Arial" w:eastAsia="NSimSun" w:hAnsi="Arial" w:cs="Arial"/>
          <w:color w:val="000000"/>
          <w:kern w:val="2"/>
          <w:lang w:eastAsia="zh-CN" w:bidi="hi-IN"/>
        </w:rPr>
      </w:pPr>
    </w:p>
    <w:p w14:paraId="271B1A0E" w14:textId="77777777" w:rsidR="00F10C58" w:rsidRPr="00214C1C" w:rsidRDefault="00F10C58" w:rsidP="00F10C58">
      <w:pPr>
        <w:spacing w:after="0" w:line="240" w:lineRule="auto"/>
        <w:jc w:val="both"/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</w:pP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“In accordance with the European Habitats Directive (Article 6(3)) and Section 177U of the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Planning and Development Act 2000 (as amended), Fingal County Council has made an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Appropriate Assessment (AA)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Screening Determination on the ‘Relevant Action (RA)’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application by daa in accordance with the European Habitats Directive (Article 6(3)) and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lastRenderedPageBreak/>
        <w:t>Section 177U of the Planning and Development Act 2000 (as amended) which is set out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in the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Report and Recommendation as follows: An Appropriate Assessment Screening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Report was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submitted for the relevant Action (RA) application. A revised Appropriate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Assessment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Screening Report was submitted at further information stage following a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request for further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information by the Planning Authority.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Following ANCAs setting of a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Noise Abatement</w:t>
      </w:r>
      <w:r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 xml:space="preserve">Objective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and its making of a Regulatory Decision (RD) on 20th June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2022 and in accordance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with the Habitats Directive and Birds Directive, the Planning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Authority is required to carry out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an Appropriate Assessment Screening of the Relevant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Action as varied by the Regulatory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Decision. Fingal County Council has made an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Appropriate Assessment (AA) Screening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Determination on the ‘Relevant Action (RA)’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application as varied by the Regulatory Decision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as varied by the Regulatory Decision.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Having examined both the original and updated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Appropriate Assessment Screening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Reports and all other documentation submitted by the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applicant in relation to the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Relevant Action, as amended by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and incorporating the Regulatory Decision, as well as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the documentation associated with the Regulatory</w:t>
      </w:r>
      <w:r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Decision and Noise Abatement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Objective published by ANCA (the Aircraft Noise</w:t>
      </w:r>
      <w:r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Competent Authority),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and in light of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best scientific knowledge, and in the absence of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mitigation measures, Fingal County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Council is satisfied that the Relevant Action, as amended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by and incorporating the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Regulatory Decision, is not likely to have a significant effect on any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European sites, either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alone or in combination with other plans or projects. Therefore a Stage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2 Appropriate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Assessment is not required”. 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(emphasis added.)</w:t>
      </w:r>
    </w:p>
    <w:p w14:paraId="55C34441" w14:textId="77777777" w:rsidR="00F10C58" w:rsidRPr="00214C1C" w:rsidRDefault="00F10C58" w:rsidP="00F10C58">
      <w:pPr>
        <w:spacing w:after="0" w:line="240" w:lineRule="auto"/>
        <w:jc w:val="both"/>
        <w:rPr>
          <w:rFonts w:ascii="Arial" w:eastAsia="NSimSun" w:hAnsi="Arial" w:cs="Arial"/>
          <w:color w:val="000000"/>
          <w:kern w:val="2"/>
          <w:lang w:eastAsia="zh-CN" w:bidi="hi-IN"/>
        </w:rPr>
      </w:pPr>
    </w:p>
    <w:p w14:paraId="3F1E6228" w14:textId="77777777" w:rsidR="00F10C58" w:rsidRPr="00214C1C" w:rsidRDefault="00F10C58" w:rsidP="00F10C58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Above Fingal CC have confirmed that they took into account the mitigation of the ANCA Regulatory Decision and Noise abatement objective into consideration when deciding NOT to carry out a stage 2 appropriate assessment. This approach is contrary to law article 6(3) of the Habitats Directive 1992/43/EEC must be interpreted as meaning that, when carrying out a screening for Appropriate Assessment, it is not appropriate to take account of measures intended to avoid or reduce the harmful effects of the plan or project on a European Site. Therefore</w:t>
      </w:r>
      <w:r>
        <w:rPr>
          <w:rFonts w:ascii="Arial" w:eastAsia="NSimSun" w:hAnsi="Arial" w:cs="Arial"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 xml:space="preserve">by relying on the mitigation of the Regulatory Decision and Noise Abatement Objective. In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People over Wind,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 xml:space="preserve"> The CJEU decided that the term must be understood as meaning any measure that is </w:t>
      </w:r>
      <w:r w:rsidRPr="00214C1C">
        <w:rPr>
          <w:rFonts w:ascii="Arial" w:eastAsia="NSimSun" w:hAnsi="Arial" w:cs="Arial"/>
          <w:iCs/>
          <w:color w:val="000000"/>
          <w:kern w:val="2"/>
          <w:lang w:eastAsia="zh-CN" w:bidi="hi-IN"/>
        </w:rPr>
        <w:t>‘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intended to avoid or reduce the harmful effects of the envisaged project on the site concerned’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, being the European Site potentially affected by the proposed development.</w:t>
      </w:r>
    </w:p>
    <w:p w14:paraId="0BA86BA1" w14:textId="77777777" w:rsidR="00F10C58" w:rsidRPr="00214C1C" w:rsidRDefault="00F10C58" w:rsidP="00F10C58">
      <w:pPr>
        <w:spacing w:after="0" w:line="240" w:lineRule="auto"/>
        <w:jc w:val="both"/>
        <w:rPr>
          <w:rFonts w:ascii="Arial" w:eastAsia="NSimSun" w:hAnsi="Arial" w:cs="Arial"/>
          <w:color w:val="000000"/>
          <w:kern w:val="2"/>
          <w:lang w:eastAsia="zh-CN" w:bidi="hi-IN"/>
        </w:rPr>
      </w:pPr>
    </w:p>
    <w:p w14:paraId="5735C3D2" w14:textId="77777777" w:rsidR="00F10C58" w:rsidRPr="00214C1C" w:rsidRDefault="00F10C58" w:rsidP="00F10C58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 xml:space="preserve">If there is a source-pathway-receptor connection between the proposed development and the qualifying interests of a European site and potential harmful effects have been identified, measures to avoid or reduce those effects must be excluded from the screening analysis. If there is no source – pathway – receptor connection, the potential for harmful effects can be excluded. If there is a source-pathway-receptor connection, the Habitats Directive requires a precautionary approach such that measures intended to avoid or reduce the potential for harmful effects should not be taken into account when screening for likely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significant 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effects.</w:t>
      </w:r>
    </w:p>
    <w:p w14:paraId="44A6424E" w14:textId="77777777" w:rsidR="00F10C58" w:rsidRPr="00214C1C" w:rsidRDefault="00F10C58" w:rsidP="00F10C58">
      <w:pPr>
        <w:spacing w:after="0" w:line="240" w:lineRule="auto"/>
        <w:jc w:val="both"/>
        <w:rPr>
          <w:rFonts w:ascii="Arial" w:eastAsia="NSimSun" w:hAnsi="Arial" w:cs="Arial"/>
          <w:color w:val="000000"/>
          <w:kern w:val="2"/>
          <w:lang w:eastAsia="zh-CN" w:bidi="hi-IN"/>
        </w:rPr>
      </w:pPr>
    </w:p>
    <w:p w14:paraId="394A7D35" w14:textId="77777777" w:rsidR="00F10C58" w:rsidRPr="00214C1C" w:rsidRDefault="00F10C58" w:rsidP="00F10C58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FCC impermissibly relied on mitigation measures contrary to article 6(3) of the Habitats Directive and 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People over Wind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 xml:space="preserve"> The European sites in question would be Baldoyle Bay SPA, Malahide SPA , Ireland's Eye SPA and Howth Head SPA. See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Eoin Kelly v. An Bord Pleanála [2019] IEHC 84 (‘Eoin Kelly’)</w:t>
      </w:r>
      <w:r w:rsidRPr="00214C1C">
        <w:rPr>
          <w:rFonts w:ascii="Arial" w:eastAsia="NSimSun" w:hAnsi="Arial" w:cs="Arial"/>
          <w:iCs/>
          <w:color w:val="000000"/>
          <w:kern w:val="2"/>
          <w:lang w:eastAsia="zh-CN" w:bidi="hi-IN"/>
        </w:rPr>
        <w:t xml:space="preserve">,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People Over Wind and Sweetman v. Coillte Teoranta 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(Case C-323/17) (‘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People Over Wind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’). Therfore the Board must overturn the grant of planning as Fingal County Council failed to adhere to article. 6(3) of the habitats directive.</w:t>
      </w:r>
      <w:bookmarkEnd w:id="0"/>
      <w:r>
        <w:rPr>
          <w:rFonts w:ascii="Arial" w:eastAsia="NSimSun" w:hAnsi="Arial" w:cs="Arial"/>
          <w:color w:val="000000"/>
          <w:kern w:val="2"/>
          <w:lang w:eastAsia="zh-CN" w:bidi="hi-IN"/>
        </w:rPr>
        <w:t>”</w:t>
      </w:r>
    </w:p>
    <w:p w14:paraId="2DFBDB45" w14:textId="77777777" w:rsidR="00D75AA0" w:rsidRDefault="00D75AA0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50D9FF1B" w14:textId="77777777" w:rsidR="00D75AA0" w:rsidRDefault="00D75AA0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7828E5EF" w14:textId="3217A9CE" w:rsidR="004D5420" w:rsidRPr="00211D70" w:rsidRDefault="0080530D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 w:rsidRPr="00211D70">
        <w:rPr>
          <w:rFonts w:ascii="Arial" w:hAnsi="Arial" w:cs="Arial"/>
        </w:rPr>
        <w:t>Yours sincerely,</w:t>
      </w:r>
    </w:p>
    <w:p w14:paraId="0C6609EA" w14:textId="77777777" w:rsidR="004D5420" w:rsidRPr="00211D70" w:rsidRDefault="004D5420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3429A02D" w14:textId="0445C424" w:rsidR="0080530D" w:rsidRDefault="0080530D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 w:rsidRPr="00211D70">
        <w:rPr>
          <w:rFonts w:ascii="Arial" w:hAnsi="Arial" w:cs="Arial"/>
        </w:rPr>
        <w:t>Liam O’Grad</w:t>
      </w:r>
      <w:r w:rsidR="004D5420" w:rsidRPr="00211D70">
        <w:rPr>
          <w:rFonts w:ascii="Arial" w:hAnsi="Arial" w:cs="Arial"/>
        </w:rPr>
        <w:t>a</w:t>
      </w:r>
      <w:r w:rsidRPr="00211D70">
        <w:rPr>
          <w:rFonts w:ascii="Arial" w:hAnsi="Arial" w:cs="Arial"/>
        </w:rPr>
        <w:t>igh</w:t>
      </w:r>
    </w:p>
    <w:p w14:paraId="02ED2D7E" w14:textId="0EA432B9" w:rsidR="004D5420" w:rsidRPr="00211D70" w:rsidRDefault="004D5420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 w:rsidRPr="00211D70">
        <w:rPr>
          <w:rFonts w:ascii="Arial" w:hAnsi="Arial" w:cs="Arial"/>
        </w:rPr>
        <w:t xml:space="preserve">On behalf of </w:t>
      </w:r>
      <w:r w:rsidR="006544F3">
        <w:rPr>
          <w:rFonts w:ascii="Arial" w:hAnsi="Arial" w:cs="Arial"/>
        </w:rPr>
        <w:t>S</w:t>
      </w:r>
      <w:r w:rsidR="00A41A51">
        <w:rPr>
          <w:rFonts w:ascii="Arial" w:hAnsi="Arial" w:cs="Arial"/>
        </w:rPr>
        <w:t>MTW Environmental DAC</w:t>
      </w:r>
    </w:p>
    <w:sectPr w:rsidR="004D5420" w:rsidRPr="00211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0D"/>
    <w:rsid w:val="000A1792"/>
    <w:rsid w:val="000D3B4E"/>
    <w:rsid w:val="000D3D3C"/>
    <w:rsid w:val="001F3E05"/>
    <w:rsid w:val="00204514"/>
    <w:rsid w:val="00211D70"/>
    <w:rsid w:val="002858DD"/>
    <w:rsid w:val="00373277"/>
    <w:rsid w:val="00477E19"/>
    <w:rsid w:val="004C3258"/>
    <w:rsid w:val="004D5420"/>
    <w:rsid w:val="005162A4"/>
    <w:rsid w:val="00524A9B"/>
    <w:rsid w:val="006544F3"/>
    <w:rsid w:val="007121BC"/>
    <w:rsid w:val="00722E2D"/>
    <w:rsid w:val="00792841"/>
    <w:rsid w:val="007B0100"/>
    <w:rsid w:val="0080530D"/>
    <w:rsid w:val="00857752"/>
    <w:rsid w:val="00887AAE"/>
    <w:rsid w:val="008C203C"/>
    <w:rsid w:val="00945692"/>
    <w:rsid w:val="00A14D1C"/>
    <w:rsid w:val="00A41A51"/>
    <w:rsid w:val="00AA14A7"/>
    <w:rsid w:val="00B4736E"/>
    <w:rsid w:val="00B65455"/>
    <w:rsid w:val="00BA109C"/>
    <w:rsid w:val="00BA197B"/>
    <w:rsid w:val="00BA342C"/>
    <w:rsid w:val="00C3291D"/>
    <w:rsid w:val="00CA0804"/>
    <w:rsid w:val="00CA780B"/>
    <w:rsid w:val="00CC7B30"/>
    <w:rsid w:val="00CD6719"/>
    <w:rsid w:val="00CE1326"/>
    <w:rsid w:val="00D75AA0"/>
    <w:rsid w:val="00DC0845"/>
    <w:rsid w:val="00E022E4"/>
    <w:rsid w:val="00E25802"/>
    <w:rsid w:val="00E77F0C"/>
    <w:rsid w:val="00EA4E37"/>
    <w:rsid w:val="00F01C83"/>
    <w:rsid w:val="00F10C58"/>
    <w:rsid w:val="00F2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8E9F"/>
  <w15:chartTrackingRefBased/>
  <w15:docId w15:val="{DB2FB982-E581-4DE6-998C-DD11199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5ccd26-b974-47bb-a9af-471d10e6b790}" enabled="1" method="Privileged" siteId="{918079db-c902-4e29-b22c-9764410d037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Sutton Smith</dc:creator>
  <cp:keywords/>
  <dc:description/>
  <cp:lastModifiedBy>Katie Hedderman</cp:lastModifiedBy>
  <cp:revision>5</cp:revision>
  <dcterms:created xsi:type="dcterms:W3CDTF">2022-09-02T08:55:00Z</dcterms:created>
  <dcterms:modified xsi:type="dcterms:W3CDTF">2022-09-02T11:28:00Z</dcterms:modified>
</cp:coreProperties>
</file>